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[Church name] Child Safety Policy</w:t>
      </w:r>
    </w:p>
    <w:p>
      <w:pPr>
        <w:spacing w:after="200"/>
      </w:pPr>
      <w:r>
        <w:rPr>
          <w:rFonts w:ascii="Arial" w:hAnsi="Arial"/>
          <w:i/>
          <w:color w:val="8A857C"/>
          <w:sz w:val="20"/>
        </w:rPr>
        <w:t>Policy for the protection of children and youth · Adopted [date] by [board / leadership team] · Next review [month, year]</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color w:val="3D3A34"/>
                <w:sz w:val="20"/>
              </w:rPr>
              <w:t>Read this first. This is a starting point, not legal advice. Laws on background checks and on reporting suspected abuse differ from state to state, and your insurance carrier may have its own minimum standards. Before your church adopts this policy, have it reviewed by your insurer and an attorney who knows your state, and change anything they tell you to.</w:t>
            </w:r>
          </w:p>
        </w:tc>
      </w:tr>
    </w:tbl>
    <w:p>
      <w:pPr>
        <w:spacing w:after="80"/>
      </w:pPr>
    </w:p>
    <w:p>
      <w:pPr>
        <w:spacing w:after="160"/>
      </w:pPr>
      <w:r>
        <w:rPr>
          <w:rFonts w:ascii="Arial" w:hAnsi="Arial"/>
          <w:i/>
          <w:color w:val="8A857C"/>
          <w:sz w:val="18"/>
        </w:rPr>
        <w:t>Guidance: Replace every [bracketed] item, delete these grey notes, and keep the section numbers — volunteers will refer to them. Where this template offers a choice, pick the stricter one unless your insurer says otherwise.</w:t>
      </w:r>
    </w:p>
    <w:p>
      <w:pPr>
        <w:spacing w:before="200" w:after="80"/>
      </w:pPr>
      <w:r>
        <w:rPr>
          <w:rFonts w:ascii="Arial" w:hAnsi="Arial"/>
          <w:b/>
          <w:color w:val="C85A3B"/>
          <w:sz w:val="26"/>
        </w:rPr>
        <w:t>1. Purpose</w:t>
      </w:r>
    </w:p>
    <w:p>
      <w:pPr>
        <w:spacing w:after="120"/>
      </w:pPr>
      <w:r>
        <w:rPr>
          <w:rFonts w:ascii="Arial" w:hAnsi="Arial"/>
          <w:b w:val="0"/>
          <w:color w:val="3D3A34"/>
          <w:sz w:val="20"/>
        </w:rPr>
        <w:t>[Church name] wants every child and young person in our care to be safe, known and loved. This policy sets out how we choose, train and supervise the people who serve with children and youth, and what we do if something goes wrong. It protects children first, and it also protects the adults who serve them from misunderstanding and false accusation.</w:t>
      </w:r>
    </w:p>
    <w:p>
      <w:pPr>
        <w:spacing w:before="200" w:after="80"/>
      </w:pPr>
      <w:r>
        <w:rPr>
          <w:rFonts w:ascii="Arial" w:hAnsi="Arial"/>
          <w:b/>
          <w:color w:val="C85A3B"/>
          <w:sz w:val="26"/>
        </w:rPr>
        <w:t>2. Who this policy covers</w:t>
      </w:r>
    </w:p>
    <w:p>
      <w:pPr>
        <w:spacing w:after="120"/>
      </w:pPr>
      <w:r>
        <w:rPr>
          <w:rFonts w:ascii="Arial" w:hAnsi="Arial"/>
          <w:b w:val="0"/>
          <w:color w:val="3D3A34"/>
          <w:sz w:val="20"/>
        </w:rPr>
        <w:t>This policy applies to every paid staff member and volunteer who works with anyone under 18 in any church program — on site, off site, or online. That includes [nursery, kids ministry, student ministry, VBS, camps, music, small groups that include minors, childcare during adult events, and transport].</w:t>
      </w:r>
    </w:p>
    <w:p>
      <w:pPr>
        <w:spacing w:after="120"/>
      </w:pPr>
      <w:r>
        <w:rPr>
          <w:rFonts w:ascii="Arial" w:hAnsi="Arial"/>
          <w:b w:val="0"/>
          <w:color w:val="3D3A34"/>
          <w:sz w:val="20"/>
        </w:rPr>
        <w:t>In this policy, a "child" means anyone under [18]. A "worker" means any staff member or volunteer covered by this policy.</w:t>
      </w:r>
    </w:p>
    <w:p>
      <w:pPr>
        <w:spacing w:before="200" w:after="80"/>
      </w:pPr>
      <w:r>
        <w:rPr>
          <w:rFonts w:ascii="Arial" w:hAnsi="Arial"/>
          <w:b/>
          <w:color w:val="C85A3B"/>
          <w:sz w:val="26"/>
        </w:rPr>
        <w:t>3. Screening</w:t>
      </w:r>
    </w:p>
    <w:p>
      <w:pPr>
        <w:spacing w:after="120"/>
      </w:pPr>
      <w:r>
        <w:rPr>
          <w:rFonts w:ascii="Arial" w:hAnsi="Arial"/>
          <w:b w:val="0"/>
          <w:color w:val="3D3A34"/>
          <w:sz w:val="20"/>
        </w:rPr>
        <w:t>Before anyone works with children or youth, they must complete all of the following:</w:t>
      </w:r>
    </w:p>
    <w:p>
      <w:pPr>
        <w:pStyle w:val="ListBullet"/>
      </w:pPr>
      <w:r>
        <w:rPr>
          <w:rFonts w:ascii="Arial" w:hAnsi="Arial"/>
          <w:sz w:val="20"/>
        </w:rPr>
        <w:t>A written application (our volunteer application form), kept on file.</w:t>
      </w:r>
    </w:p>
    <w:p>
      <w:pPr>
        <w:pStyle w:val="ListBullet"/>
      </w:pPr>
      <w:r>
        <w:rPr>
          <w:rFonts w:ascii="Arial" w:hAnsi="Arial"/>
          <w:sz w:val="20"/>
        </w:rPr>
        <w:t>Two references from people outside their family, checked by [role] before they begin — at least one by phone.</w:t>
      </w:r>
    </w:p>
    <w:p>
      <w:pPr>
        <w:pStyle w:val="ListBullet"/>
      </w:pPr>
      <w:r>
        <w:rPr>
          <w:rFonts w:ascii="Arial" w:hAnsi="Arial"/>
          <w:sz w:val="20"/>
        </w:rPr>
        <w:t>A criminal background check through [provider], renewed every [2] years. Follow your state's law on what the check must include and how results are handled.</w:t>
      </w:r>
    </w:p>
    <w:p>
      <w:pPr>
        <w:pStyle w:val="ListBullet"/>
      </w:pPr>
      <w:r>
        <w:rPr>
          <w:rFonts w:ascii="Arial" w:hAnsi="Arial"/>
          <w:sz w:val="20"/>
        </w:rPr>
        <w:t>A conversation with [role] about the role and this policy.</w:t>
      </w:r>
    </w:p>
    <w:p>
      <w:pPr>
        <w:pStyle w:val="ListBullet"/>
      </w:pPr>
      <w:r>
        <w:rPr>
          <w:rFonts w:ascii="Arial" w:hAnsi="Arial"/>
          <w:sz w:val="20"/>
        </w:rPr>
        <w:t>A waiting period: they must have attended [Church name] for at least [6] months before serving with children.</w:t>
      </w:r>
    </w:p>
    <w:p>
      <w:pPr>
        <w:spacing w:after="160"/>
      </w:pPr>
      <w:r>
        <w:rPr>
          <w:rFonts w:ascii="Arial" w:hAnsi="Arial"/>
          <w:i/>
          <w:color w:val="8A857C"/>
          <w:sz w:val="18"/>
        </w:rPr>
        <w:t>Guidance: The six-month wait is one of the strongest protections a church has: people who seek access to children often move on rather than wait. Some churches let new attenders help only in roles with no child contact during the wait.</w:t>
      </w:r>
    </w:p>
    <w:p>
      <w:pPr>
        <w:spacing w:after="120"/>
      </w:pPr>
      <w:r>
        <w:rPr>
          <w:rFonts w:ascii="Arial" w:hAnsi="Arial"/>
          <w:b w:val="0"/>
          <w:color w:val="3D3A34"/>
          <w:sz w:val="20"/>
        </w:rPr>
        <w:t>Anyone under 18 who helps (a "student helper") must be at least [12], must always serve alongside two screened adults, and is never counted as one of the two adults.</w:t>
      </w:r>
    </w:p>
    <w:p>
      <w:pPr>
        <w:spacing w:after="120"/>
      </w:pPr>
      <w:r>
        <w:rPr>
          <w:rFonts w:ascii="Arial" w:hAnsi="Arial"/>
          <w:b w:val="0"/>
          <w:color w:val="3D3A34"/>
          <w:sz w:val="20"/>
        </w:rPr>
        <w:t>[Church name] will not place anyone with children who has been convicted of, or has a pending charge for, any offense involving children, violence or sexual misconduct. Other results are reviewed by [role] in confidence.</w:t>
      </w:r>
    </w:p>
    <w:p>
      <w:pPr>
        <w:spacing w:before="200" w:after="80"/>
      </w:pPr>
      <w:r>
        <w:rPr>
          <w:rFonts w:ascii="Arial" w:hAnsi="Arial"/>
          <w:b/>
          <w:color w:val="C85A3B"/>
          <w:sz w:val="26"/>
        </w:rPr>
        <w:t>4. The two-adult rule</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color w:val="3D3A34"/>
                <w:sz w:val="20"/>
              </w:rPr>
              <w:t>No worker is ever alone with a child who is not their own. At least two screened adults who are not related to each other or married to each other are present in every room, vehicle and activity — or, at minimum, one adult in plain view of another.</w:t>
            </w:r>
          </w:p>
        </w:tc>
      </w:tr>
    </w:tbl>
    <w:p>
      <w:pPr>
        <w:spacing w:after="80"/>
      </w:pPr>
    </w:p>
    <w:p>
      <w:pPr>
        <w:pStyle w:val="ListBullet"/>
      </w:pPr>
      <w:r>
        <w:rPr>
          <w:rFonts w:ascii="Arial" w:hAnsi="Arial"/>
          <w:sz w:val="20"/>
        </w:rPr>
        <w:t>Every classroom door has a window, or stays open.</w:t>
      </w:r>
    </w:p>
    <w:p>
      <w:pPr>
        <w:pStyle w:val="ListBullet"/>
      </w:pPr>
      <w:r>
        <w:rPr>
          <w:rFonts w:ascii="Arial" w:hAnsi="Arial"/>
          <w:sz w:val="20"/>
        </w:rPr>
        <w:t>If a second adult has to leave, the class moves to join another class until they return.</w:t>
      </w:r>
    </w:p>
    <w:p>
      <w:pPr>
        <w:pStyle w:val="ListBullet"/>
      </w:pPr>
      <w:r>
        <w:rPr>
          <w:rFonts w:ascii="Arial" w:hAnsi="Arial"/>
          <w:sz w:val="20"/>
        </w:rPr>
        <w:t>One-to-one conversations happen in an open, visible place, never behind a closed door.</w:t>
      </w:r>
    </w:p>
    <w:p>
      <w:pPr>
        <w:pStyle w:val="ListBullet"/>
      </w:pPr>
      <w:r>
        <w:rPr>
          <w:rFonts w:ascii="Arial" w:hAnsi="Arial"/>
          <w:sz w:val="20"/>
        </w:rPr>
        <w:t>Recommended ratios: nursery [1:3], preschool [1:5], elementary [1:8], students [1:10] — and never fewer than two adults whatever the numbers.</w:t>
      </w:r>
    </w:p>
    <w:p>
      <w:pPr>
        <w:spacing w:before="200" w:after="80"/>
      </w:pPr>
      <w:r>
        <w:rPr>
          <w:rFonts w:ascii="Arial" w:hAnsi="Arial"/>
          <w:b/>
          <w:color w:val="C85A3B"/>
          <w:sz w:val="26"/>
        </w:rPr>
        <w:t>5. Check-in and check-out</w:t>
      </w:r>
    </w:p>
    <w:p>
      <w:pPr>
        <w:pStyle w:val="ListBullet"/>
      </w:pPr>
      <w:r>
        <w:rPr>
          <w:rFonts w:ascii="Arial" w:hAnsi="Arial"/>
          <w:sz w:val="20"/>
        </w:rPr>
        <w:t>Every child is checked in by a parent or guardian, who receives a matching pickup tag or code.</w:t>
      </w:r>
    </w:p>
    <w:p>
      <w:pPr>
        <w:pStyle w:val="ListBullet"/>
      </w:pPr>
      <w:r>
        <w:rPr>
          <w:rFonts w:ascii="Arial" w:hAnsi="Arial"/>
          <w:sz w:val="20"/>
        </w:rPr>
        <w:t>Children are released only to the adult presenting the matching tag or code. No tag, no release — [role] is called and confirms the guardian's identity.</w:t>
      </w:r>
    </w:p>
    <w:p>
      <w:pPr>
        <w:pStyle w:val="ListBullet"/>
      </w:pPr>
      <w:r>
        <w:rPr>
          <w:rFonts w:ascii="Arial" w:hAnsi="Arial"/>
          <w:sz w:val="20"/>
        </w:rPr>
        <w:t>A list of anyone not permitted to collect a child (for example under a court order) is kept by [role] and checked at pickup.</w:t>
      </w:r>
    </w:p>
    <w:p>
      <w:pPr>
        <w:pStyle w:val="ListBullet"/>
      </w:pPr>
      <w:r>
        <w:rPr>
          <w:rFonts w:ascii="Arial" w:hAnsi="Arial"/>
          <w:sz w:val="20"/>
        </w:rPr>
        <w:t>Children in [grade] and above may sign themselves out only with written permission from a guardian.</w:t>
      </w:r>
    </w:p>
    <w:p>
      <w:pPr>
        <w:pStyle w:val="ListBullet"/>
      </w:pPr>
      <w:r>
        <w:rPr>
          <w:rFonts w:ascii="Arial" w:hAnsi="Arial"/>
          <w:sz w:val="20"/>
        </w:rPr>
        <w:t>Allergies and medical notes recorded at check-in are given to the room leader before the session starts.</w:t>
      </w:r>
    </w:p>
    <w:p>
      <w:pPr>
        <w:spacing w:before="200" w:after="80"/>
      </w:pPr>
      <w:r>
        <w:rPr>
          <w:rFonts w:ascii="Arial" w:hAnsi="Arial"/>
          <w:b/>
          <w:color w:val="C85A3B"/>
          <w:sz w:val="26"/>
        </w:rPr>
        <w:t>6. Restrooms</w:t>
      </w:r>
    </w:p>
    <w:p>
      <w:pPr>
        <w:pStyle w:val="ListBullet"/>
      </w:pPr>
      <w:r>
        <w:rPr>
          <w:rFonts w:ascii="Arial" w:hAnsi="Arial"/>
          <w:sz w:val="20"/>
        </w:rPr>
        <w:t>Children go to the restroom in groups, accompanied by [two] workers, or with one worker who waits outside the door with it propped open.</w:t>
      </w:r>
    </w:p>
    <w:p>
      <w:pPr>
        <w:pStyle w:val="ListBullet"/>
      </w:pPr>
      <w:r>
        <w:rPr>
          <w:rFonts w:ascii="Arial" w:hAnsi="Arial"/>
          <w:sz w:val="20"/>
        </w:rPr>
        <w:t>Workers do not enter a stall with a child. For children who need help, a worker leaves the stall door open and a second worker is present.</w:t>
      </w:r>
    </w:p>
    <w:p>
      <w:pPr>
        <w:pStyle w:val="ListBullet"/>
      </w:pPr>
      <w:r>
        <w:rPr>
          <w:rFonts w:ascii="Arial" w:hAnsi="Arial"/>
          <w:sz w:val="20"/>
        </w:rPr>
        <w:t>Diapers are changed only in the open changing area of the nursery, in view of another worker.</w:t>
      </w:r>
    </w:p>
    <w:p>
      <w:pPr>
        <w:spacing w:before="200" w:after="80"/>
      </w:pPr>
      <w:r>
        <w:rPr>
          <w:rFonts w:ascii="Arial" w:hAnsi="Arial"/>
          <w:b/>
          <w:color w:val="C85A3B"/>
          <w:sz w:val="26"/>
        </w:rPr>
        <w:t>7. Discipline and appropriate touch</w:t>
      </w:r>
    </w:p>
    <w:p>
      <w:pPr>
        <w:pStyle w:val="ListBullet"/>
      </w:pPr>
      <w:r>
        <w:rPr>
          <w:rFonts w:ascii="Arial" w:hAnsi="Arial"/>
          <w:sz w:val="20"/>
        </w:rPr>
        <w:t>Workers never use physical punishment, shout at, shame, or isolate a child.</w:t>
      </w:r>
    </w:p>
    <w:p>
      <w:pPr>
        <w:pStyle w:val="ListBullet"/>
      </w:pPr>
      <w:r>
        <w:rPr>
          <w:rFonts w:ascii="Arial" w:hAnsi="Arial"/>
          <w:sz w:val="20"/>
        </w:rPr>
        <w:t>Persistent behavior problems are handled by [role] together with the child's guardian.</w:t>
      </w:r>
    </w:p>
    <w:p>
      <w:pPr>
        <w:pStyle w:val="ListBullet"/>
      </w:pPr>
      <w:r>
        <w:rPr>
          <w:rFonts w:ascii="Arial" w:hAnsi="Arial"/>
          <w:sz w:val="20"/>
        </w:rPr>
        <w:t>Appropriate touch is public and brief: a side hug, a high five, a hand on the shoulder. No lap-sitting for children over [age], no tickling or wrestling, no kissing, and no touch a child does not want.</w:t>
      </w:r>
    </w:p>
    <w:p>
      <w:pPr>
        <w:pStyle w:val="ListBullet"/>
      </w:pPr>
      <w:r>
        <w:rPr>
          <w:rFonts w:ascii="Arial" w:hAnsi="Arial"/>
          <w:sz w:val="20"/>
        </w:rPr>
        <w:t>Workers do not give gifts to individual children or keep secrets with them.</w:t>
      </w:r>
    </w:p>
    <w:p>
      <w:pPr>
        <w:spacing w:before="200" w:after="80"/>
      </w:pPr>
      <w:r>
        <w:rPr>
          <w:rFonts w:ascii="Arial" w:hAnsi="Arial"/>
          <w:b/>
          <w:color w:val="C85A3B"/>
          <w:sz w:val="26"/>
        </w:rPr>
        <w:t>8. Transport and off-site events</w:t>
      </w:r>
    </w:p>
    <w:p>
      <w:pPr>
        <w:pStyle w:val="ListBullet"/>
      </w:pPr>
      <w:r>
        <w:rPr>
          <w:rFonts w:ascii="Arial" w:hAnsi="Arial"/>
          <w:sz w:val="20"/>
        </w:rPr>
        <w:t>Signed guardian permission is required for every off-site activity.</w:t>
      </w:r>
    </w:p>
    <w:p>
      <w:pPr>
        <w:pStyle w:val="ListBullet"/>
      </w:pPr>
      <w:r>
        <w:rPr>
          <w:rFonts w:ascii="Arial" w:hAnsi="Arial"/>
          <w:sz w:val="20"/>
        </w:rPr>
        <w:t>Drivers are screened workers, at least [21], with a valid license and insurance on file. Two adults travel in every vehicle, or vehicles travel together.</w:t>
      </w:r>
    </w:p>
    <w:p>
      <w:pPr>
        <w:pStyle w:val="ListBullet"/>
      </w:pPr>
      <w:r>
        <w:rPr>
          <w:rFonts w:ascii="Arial" w:hAnsi="Arial"/>
          <w:sz w:val="20"/>
        </w:rPr>
        <w:t>No worker drives a single child alone, including home after an event.</w:t>
      </w:r>
    </w:p>
    <w:p>
      <w:pPr>
        <w:pStyle w:val="ListBullet"/>
      </w:pPr>
      <w:r>
        <w:rPr>
          <w:rFonts w:ascii="Arial" w:hAnsi="Arial"/>
          <w:sz w:val="20"/>
        </w:rPr>
        <w:t>Overnight events have separate sleeping areas by gender, with at least two adults supervising each area.</w:t>
      </w:r>
    </w:p>
    <w:p>
      <w:pPr>
        <w:spacing w:before="200" w:after="80"/>
      </w:pPr>
      <w:r>
        <w:rPr>
          <w:rFonts w:ascii="Arial" w:hAnsi="Arial"/>
          <w:b/>
          <w:color w:val="C85A3B"/>
          <w:sz w:val="26"/>
        </w:rPr>
        <w:t>9. Online and phone contact</w:t>
      </w:r>
    </w:p>
    <w:p>
      <w:pPr>
        <w:pStyle w:val="ListBullet"/>
      </w:pPr>
      <w:r>
        <w:rPr>
          <w:rFonts w:ascii="Arial" w:hAnsi="Arial"/>
          <w:sz w:val="20"/>
        </w:rPr>
        <w:t>Workers contact children through group channels a parent can see, or copy a parent or a second worker on every message.</w:t>
      </w:r>
    </w:p>
    <w:p>
      <w:pPr>
        <w:pStyle w:val="ListBullet"/>
      </w:pPr>
      <w:r>
        <w:rPr>
          <w:rFonts w:ascii="Arial" w:hAnsi="Arial"/>
          <w:sz w:val="20"/>
        </w:rPr>
        <w:t>No private messaging, private social-media accounts or disappearing-message apps with children. No contact between [10pm] and [7am] except in an emergency.</w:t>
      </w:r>
    </w:p>
    <w:p>
      <w:pPr>
        <w:pStyle w:val="ListBullet"/>
      </w:pPr>
      <w:r>
        <w:rPr>
          <w:rFonts w:ascii="Arial" w:hAnsi="Arial"/>
          <w:sz w:val="20"/>
        </w:rPr>
        <w:t>Video sessions with children always have two adults present, and are not one-to-one.</w:t>
      </w:r>
    </w:p>
    <w:p>
      <w:pPr>
        <w:pStyle w:val="ListBullet"/>
      </w:pPr>
      <w:r>
        <w:rPr>
          <w:rFonts w:ascii="Arial" w:hAnsi="Arial"/>
          <w:sz w:val="20"/>
        </w:rPr>
        <w:t>Photos of children are shared only with guardian permission, and never with full names or locations.</w:t>
      </w:r>
    </w:p>
    <w:p>
      <w:pPr>
        <w:spacing w:before="200" w:after="80"/>
      </w:pPr>
      <w:r>
        <w:rPr>
          <w:rFonts w:ascii="Arial" w:hAnsi="Arial"/>
          <w:b/>
          <w:color w:val="C85A3B"/>
          <w:sz w:val="26"/>
        </w:rPr>
        <w:t>10. Reporting suspected abuse</w:t>
      </w:r>
    </w:p>
    <w:tbl>
      <w:tblPr>
        <w:tblStyle w:val="TableGrid"/>
        <w:tblW w:type="auto" w:w="0"/>
        <w:tblLook w:firstColumn="1" w:firstRow="1" w:lastColumn="0" w:lastRow="0" w:noHBand="0" w:noVBand="1" w:val="04A0"/>
      </w:tblPr>
      <w:tblGrid>
        <w:gridCol w:w="9936"/>
      </w:tblGrid>
      <w:tr>
        <w:tc>
          <w:tcPr>
            <w:tcW w:type="dxa" w:w="9936"/>
            <w:shd w:val="clear" w:fill="F4EDE3"/>
          </w:tcPr>
          <w:p>
            <w:r/>
            <w:r>
              <w:rPr>
                <w:rFonts w:ascii="Arial" w:hAnsi="Arial"/>
                <w:b w:val="0"/>
                <w:i w:val="0"/>
                <w:color w:val="3D3A34"/>
                <w:sz w:val="20"/>
              </w:rPr>
              <w:t>If any worker sees, hears or suspects that a child is being abused or neglected — at church or anywhere else — they must follow your state's law on reporting, and also tell [role] the same day. Reporting to church leaders never replaces a report to the authorities when the law requires one.</w:t>
            </w:r>
          </w:p>
        </w:tc>
      </w:tr>
    </w:tbl>
    <w:p>
      <w:pPr>
        <w:spacing w:after="80"/>
      </w:pPr>
    </w:p>
    <w:p>
      <w:pPr>
        <w:pStyle w:val="ListBullet"/>
      </w:pPr>
      <w:r>
        <w:rPr>
          <w:rFonts w:ascii="Arial" w:hAnsi="Arial"/>
          <w:sz w:val="20"/>
        </w:rPr>
        <w:t>If a child is in immediate danger, call 911 first.</w:t>
      </w:r>
    </w:p>
    <w:p>
      <w:pPr>
        <w:pStyle w:val="ListBullet"/>
      </w:pPr>
      <w:r>
        <w:rPr>
          <w:rFonts w:ascii="Arial" w:hAnsi="Arial"/>
          <w:sz w:val="20"/>
        </w:rPr>
        <w:t>Listen calmly, do not question the child in detail or promise to keep a secret, and write down what was said in the child's own words.</w:t>
      </w:r>
    </w:p>
    <w:p>
      <w:pPr>
        <w:pStyle w:val="ListBullet"/>
      </w:pPr>
      <w:r>
        <w:rPr>
          <w:rFonts w:ascii="Arial" w:hAnsi="Arial"/>
          <w:sz w:val="20"/>
        </w:rPr>
        <w:t>Do not confront the person suspected, and do not investigate yourself.</w:t>
      </w:r>
    </w:p>
    <w:p>
      <w:pPr>
        <w:pStyle w:val="ListBullet"/>
      </w:pPr>
      <w:r>
        <w:rPr>
          <w:rFonts w:ascii="Arial" w:hAnsi="Arial"/>
          <w:sz w:val="20"/>
        </w:rPr>
        <w:t xml:space="preserve">Our state child-abuse reporting line: [number]. Who must report under our state's law: [fill in after checking]. </w:t>
      </w:r>
    </w:p>
    <w:p>
      <w:pPr>
        <w:pStyle w:val="ListBullet"/>
      </w:pPr>
      <w:r>
        <w:rPr>
          <w:rFonts w:ascii="Arial" w:hAnsi="Arial"/>
          <w:sz w:val="20"/>
        </w:rPr>
        <w:t>Any worker accused of abuse is removed from all work with children at once while the matter is investigated. This is a protective step, not a finding.</w:t>
      </w:r>
    </w:p>
    <w:p>
      <w:pPr>
        <w:pStyle w:val="ListBullet"/>
      </w:pPr>
      <w:r>
        <w:rPr>
          <w:rFonts w:ascii="Arial" w:hAnsi="Arial"/>
          <w:sz w:val="20"/>
        </w:rPr>
        <w:t>[Church name] will cooperate fully with law enforcement and child protective services, and will notify our insurer at [number].</w:t>
      </w:r>
    </w:p>
    <w:p>
      <w:pPr>
        <w:spacing w:after="160"/>
      </w:pPr>
      <w:r>
        <w:rPr>
          <w:rFonts w:ascii="Arial" w:hAnsi="Arial"/>
          <w:i/>
          <w:color w:val="8A857C"/>
          <w:sz w:val="18"/>
        </w:rPr>
        <w:t>Guidance: Look up your state's mandatory reporting law and hotline before adopting this policy, and fill in the blanks above. In many states clergy and youth workers are mandated reporters, and the deadline to report can be hours, not days.</w:t>
      </w:r>
    </w:p>
    <w:p>
      <w:pPr>
        <w:spacing w:before="200" w:after="80"/>
      </w:pPr>
      <w:r>
        <w:rPr>
          <w:rFonts w:ascii="Arial" w:hAnsi="Arial"/>
          <w:b/>
          <w:color w:val="C85A3B"/>
          <w:sz w:val="26"/>
        </w:rPr>
        <w:t>11. Incident reports</w:t>
      </w:r>
    </w:p>
    <w:p>
      <w:pPr>
        <w:spacing w:after="120"/>
      </w:pPr>
      <w:r>
        <w:rPr>
          <w:rFonts w:ascii="Arial" w:hAnsi="Arial"/>
          <w:b w:val="0"/>
          <w:color w:val="3D3A34"/>
          <w:sz w:val="20"/>
        </w:rPr>
        <w:t>Any injury, illness, behavior incident, missing child, unauthorized pickup attempt or concern about an adult's conduct is written up on the Incident Report (attached) the same day and given to [role]. Reports are kept confidentially for [number] years, or longer if your insurer or state requires it.</w:t>
      </w:r>
    </w:p>
    <w:p>
      <w:pPr>
        <w:spacing w:before="200" w:after="80"/>
      </w:pPr>
      <w:r>
        <w:rPr>
          <w:rFonts w:ascii="Arial" w:hAnsi="Arial"/>
          <w:b/>
          <w:color w:val="C85A3B"/>
          <w:sz w:val="26"/>
        </w:rPr>
        <w:t>12. Training</w:t>
      </w:r>
    </w:p>
    <w:p>
      <w:pPr>
        <w:pStyle w:val="ListBullet"/>
      </w:pPr>
      <w:r>
        <w:rPr>
          <w:rFonts w:ascii="Arial" w:hAnsi="Arial"/>
          <w:sz w:val="20"/>
        </w:rPr>
        <w:t>Every worker completes training on this policy before they begin, and a refresher every [year].</w:t>
      </w:r>
    </w:p>
    <w:p>
      <w:pPr>
        <w:pStyle w:val="ListBullet"/>
      </w:pPr>
      <w:r>
        <w:rPr>
          <w:rFonts w:ascii="Arial" w:hAnsi="Arial"/>
          <w:sz w:val="20"/>
        </w:rPr>
        <w:t>Training covers recognizing signs of abuse, how to respond to a disclosure, how to report, and the practical rules above. Provider: [name or in-house].</w:t>
      </w:r>
    </w:p>
    <w:p>
      <w:pPr>
        <w:pStyle w:val="ListBullet"/>
      </w:pPr>
      <w:r>
        <w:rPr>
          <w:rFonts w:ascii="Arial" w:hAnsi="Arial"/>
          <w:sz w:val="20"/>
        </w:rPr>
        <w:t>Each worker signs the Acknowledgment (attached) after training. [Role] keeps the signed sheets.</w:t>
      </w:r>
    </w:p>
    <w:p>
      <w:pPr>
        <w:spacing w:before="200" w:after="80"/>
      </w:pPr>
      <w:r>
        <w:rPr>
          <w:rFonts w:ascii="Arial" w:hAnsi="Arial"/>
          <w:b/>
          <w:color w:val="C85A3B"/>
          <w:sz w:val="26"/>
        </w:rPr>
        <w:t>13. Annual review</w:t>
      </w:r>
    </w:p>
    <w:p>
      <w:pPr>
        <w:spacing w:after="120"/>
      </w:pPr>
      <w:r>
        <w:rPr>
          <w:rFonts w:ascii="Arial" w:hAnsi="Arial"/>
          <w:b w:val="0"/>
          <w:color w:val="3D3A34"/>
          <w:sz w:val="20"/>
        </w:rPr>
        <w:t>[Board / leadership team] reviews this policy every [month], checks that background checks and training are current for every worker, and records the review below. Any change in state law or insurer requirements is adopted as soon as it is known, without waiting for the annual review.</w:t>
      </w:r>
    </w:p>
    <w:tbl>
      <w:tblPr>
        <w:tblStyle w:val="TableGrid"/>
        <w:tblW w:type="auto" w:w="0"/>
        <w:tblLayout w:type="fixed"/>
        <w:tblLook w:firstColumn="1" w:firstRow="1" w:lastColumn="0" w:lastRow="0" w:noHBand="0" w:noVBand="1" w:val="04A0"/>
      </w:tblPr>
      <w:tblGrid>
        <w:gridCol w:w="2016"/>
        <w:gridCol w:w="2880"/>
        <w:gridCol w:w="5040"/>
      </w:tblGrid>
      <w:tr>
        <w:tc>
          <w:tcPr>
            <w:tcW w:type="dxa" w:w="2016"/>
            <w:shd w:val="clear" w:fill="EE7A59"/>
          </w:tcPr>
          <w:p>
            <w:r/>
            <w:r>
              <w:rPr>
                <w:rFonts w:ascii="Arial" w:hAnsi="Arial"/>
                <w:b/>
                <w:i w:val="0"/>
                <w:color w:val="FFFFFF"/>
                <w:sz w:val="18"/>
              </w:rPr>
              <w:t>Review date</w:t>
            </w:r>
          </w:p>
        </w:tc>
        <w:tc>
          <w:tcPr>
            <w:tcW w:type="dxa" w:w="2880"/>
            <w:shd w:val="clear" w:fill="EE7A59"/>
          </w:tcPr>
          <w:p>
            <w:r/>
            <w:r>
              <w:rPr>
                <w:rFonts w:ascii="Arial" w:hAnsi="Arial"/>
                <w:b/>
                <w:i w:val="0"/>
                <w:color w:val="FFFFFF"/>
                <w:sz w:val="18"/>
              </w:rPr>
              <w:t>Reviewed by</w:t>
            </w:r>
          </w:p>
        </w:tc>
        <w:tc>
          <w:tcPr>
            <w:tcW w:type="dxa" w:w="5040"/>
            <w:shd w:val="clear" w:fill="EE7A59"/>
          </w:tcPr>
          <w:p>
            <w:r/>
            <w:r>
              <w:rPr>
                <w:rFonts w:ascii="Arial" w:hAnsi="Arial"/>
                <w:b/>
                <w:i w:val="0"/>
                <w:color w:val="FFFFFF"/>
                <w:sz w:val="18"/>
              </w:rPr>
              <w:t>Changes made</w:t>
            </w:r>
          </w:p>
        </w:tc>
      </w:tr>
      <w:tr>
        <w:tc>
          <w:tcPr>
            <w:tcW w:type="dxa" w:w="2016"/>
          </w:tcPr>
          <w:p>
            <w:r/>
            <w:r>
              <w:rPr>
                <w:rFonts w:ascii="Arial" w:hAnsi="Arial"/>
                <w:b w:val="0"/>
                <w:i w:val="0"/>
                <w:sz w:val="20"/>
              </w:rPr>
            </w:r>
          </w:p>
        </w:tc>
        <w:tc>
          <w:tcPr>
            <w:tcW w:type="dxa" w:w="2880"/>
          </w:tcPr>
          <w:p>
            <w:r/>
            <w:r>
              <w:rPr>
                <w:rFonts w:ascii="Arial" w:hAnsi="Arial"/>
                <w:b w:val="0"/>
                <w:i w:val="0"/>
                <w:sz w:val="20"/>
              </w:rPr>
            </w:r>
          </w:p>
        </w:tc>
        <w:tc>
          <w:tcPr>
            <w:tcW w:type="dxa" w:w="5040"/>
          </w:tcPr>
          <w:p>
            <w:r/>
            <w:r>
              <w:rPr>
                <w:rFonts w:ascii="Arial" w:hAnsi="Arial"/>
                <w:b w:val="0"/>
                <w:i w:val="0"/>
                <w:sz w:val="20"/>
              </w:rPr>
            </w:r>
          </w:p>
        </w:tc>
      </w:tr>
      <w:tr>
        <w:tc>
          <w:tcPr>
            <w:tcW w:type="dxa" w:w="2016"/>
          </w:tcPr>
          <w:p>
            <w:r/>
            <w:r>
              <w:rPr>
                <w:rFonts w:ascii="Arial" w:hAnsi="Arial"/>
                <w:b w:val="0"/>
                <w:i w:val="0"/>
                <w:sz w:val="20"/>
              </w:rPr>
            </w:r>
          </w:p>
        </w:tc>
        <w:tc>
          <w:tcPr>
            <w:tcW w:type="dxa" w:w="2880"/>
          </w:tcPr>
          <w:p>
            <w:r/>
            <w:r>
              <w:rPr>
                <w:rFonts w:ascii="Arial" w:hAnsi="Arial"/>
                <w:b w:val="0"/>
                <w:i w:val="0"/>
                <w:sz w:val="20"/>
              </w:rPr>
            </w:r>
          </w:p>
        </w:tc>
        <w:tc>
          <w:tcPr>
            <w:tcW w:type="dxa" w:w="5040"/>
          </w:tcPr>
          <w:p>
            <w:r/>
            <w:r>
              <w:rPr>
                <w:rFonts w:ascii="Arial" w:hAnsi="Arial"/>
                <w:b w:val="0"/>
                <w:i w:val="0"/>
                <w:sz w:val="20"/>
              </w:rPr>
            </w:r>
          </w:p>
        </w:tc>
      </w:tr>
      <w:tr>
        <w:tc>
          <w:tcPr>
            <w:tcW w:type="dxa" w:w="2016"/>
          </w:tcPr>
          <w:p>
            <w:r/>
            <w:r>
              <w:rPr>
                <w:rFonts w:ascii="Arial" w:hAnsi="Arial"/>
                <w:b w:val="0"/>
                <w:i w:val="0"/>
                <w:sz w:val="20"/>
              </w:rPr>
            </w:r>
          </w:p>
        </w:tc>
        <w:tc>
          <w:tcPr>
            <w:tcW w:type="dxa" w:w="2880"/>
          </w:tcPr>
          <w:p>
            <w:r/>
            <w:r>
              <w:rPr>
                <w:rFonts w:ascii="Arial" w:hAnsi="Arial"/>
                <w:b w:val="0"/>
                <w:i w:val="0"/>
                <w:sz w:val="20"/>
              </w:rPr>
            </w:r>
          </w:p>
        </w:tc>
        <w:tc>
          <w:tcPr>
            <w:tcW w:type="dxa" w:w="5040"/>
          </w:tcPr>
          <w:p>
            <w:r/>
            <w:r>
              <w:rPr>
                <w:rFonts w:ascii="Arial" w:hAnsi="Arial"/>
                <w:b w:val="0"/>
                <w:i w:val="0"/>
                <w:sz w:val="20"/>
              </w:rPr>
            </w:r>
          </w:p>
        </w:tc>
      </w:tr>
      <w:tr>
        <w:tc>
          <w:tcPr>
            <w:tcW w:type="dxa" w:w="2016"/>
          </w:tcPr>
          <w:p>
            <w:r/>
            <w:r>
              <w:rPr>
                <w:rFonts w:ascii="Arial" w:hAnsi="Arial"/>
                <w:b w:val="0"/>
                <w:i w:val="0"/>
                <w:sz w:val="20"/>
              </w:rPr>
            </w:r>
          </w:p>
        </w:tc>
        <w:tc>
          <w:tcPr>
            <w:tcW w:type="dxa" w:w="2880"/>
          </w:tcPr>
          <w:p>
            <w:r/>
            <w:r>
              <w:rPr>
                <w:rFonts w:ascii="Arial" w:hAnsi="Arial"/>
                <w:b w:val="0"/>
                <w:i w:val="0"/>
                <w:sz w:val="20"/>
              </w:rPr>
            </w:r>
          </w:p>
        </w:tc>
        <w:tc>
          <w:tcPr>
            <w:tcW w:type="dxa" w:w="5040"/>
          </w:tcPr>
          <w:p>
            <w:r/>
            <w:r>
              <w:rPr>
                <w:rFonts w:ascii="Arial" w:hAnsi="Arial"/>
                <w:b w:val="0"/>
                <w:i w:val="0"/>
                <w:sz w:val="20"/>
              </w:rPr>
            </w:r>
          </w:p>
        </w:tc>
      </w:tr>
    </w:tbl>
    <w:p>
      <w:r>
        <w:br w:type="page"/>
      </w:r>
    </w:p>
    <w:p>
      <w:pPr>
        <w:spacing w:before="0" w:after="80"/>
      </w:pPr>
      <w:r>
        <w:rPr>
          <w:rFonts w:ascii="Arial" w:hAnsi="Arial"/>
          <w:b/>
          <w:color w:val="3D3A34"/>
          <w:sz w:val="32"/>
        </w:rPr>
        <w:t>Child Safety Policy — Acknowledgment and Sign-Off</w:t>
      </w:r>
    </w:p>
    <w:p>
      <w:pPr>
        <w:spacing w:after="200"/>
      </w:pPr>
      <w:r>
        <w:rPr>
          <w:rFonts w:ascii="Arial" w:hAnsi="Arial"/>
          <w:i/>
          <w:color w:val="8A857C"/>
          <w:sz w:val="20"/>
        </w:rPr>
        <w:t>[Church name] · Policy adopted [date] · Version [number]</w:t>
      </w:r>
    </w:p>
    <w:p>
      <w:pPr>
        <w:spacing w:after="120"/>
      </w:pPr>
      <w:r>
        <w:rPr>
          <w:rFonts w:ascii="Arial" w:hAnsi="Arial"/>
          <w:b w:val="0"/>
          <w:color w:val="3D3A34"/>
          <w:sz w:val="20"/>
        </w:rPr>
        <w:t>By signing below, I confirm that I have received and read the [Church name] Child Safety Policy, that I have completed the required training, and that I agree to follow the policy whenever I serve with children or youth. I understand that I must report any suspected abuse as the policy describes, and that breaking the policy may end my service.</w:t>
      </w:r>
    </w:p>
    <w:tbl>
      <w:tblPr>
        <w:tblStyle w:val="TableGrid"/>
        <w:tblW w:type="auto" w:w="0"/>
        <w:tblLayout w:type="fixed"/>
        <w:tblLook w:firstColumn="1" w:firstRow="1" w:lastColumn="0" w:lastRow="0" w:noHBand="0" w:noVBand="1" w:val="04A0"/>
      </w:tblPr>
      <w:tblGrid>
        <w:gridCol w:w="2304"/>
        <w:gridCol w:w="1872"/>
        <w:gridCol w:w="1440"/>
        <w:gridCol w:w="2304"/>
        <w:gridCol w:w="1296"/>
      </w:tblGrid>
      <w:tr>
        <w:tc>
          <w:tcPr>
            <w:tcW w:type="dxa" w:w="2304"/>
            <w:shd w:val="clear" w:fill="EE7A59"/>
          </w:tcPr>
          <w:p>
            <w:r/>
            <w:r>
              <w:rPr>
                <w:rFonts w:ascii="Arial" w:hAnsi="Arial"/>
                <w:b/>
                <w:i w:val="0"/>
                <w:color w:val="FFFFFF"/>
                <w:sz w:val="18"/>
              </w:rPr>
              <w:t>Printed name</w:t>
            </w:r>
          </w:p>
        </w:tc>
        <w:tc>
          <w:tcPr>
            <w:tcW w:type="dxa" w:w="1872"/>
            <w:shd w:val="clear" w:fill="EE7A59"/>
          </w:tcPr>
          <w:p>
            <w:r/>
            <w:r>
              <w:rPr>
                <w:rFonts w:ascii="Arial" w:hAnsi="Arial"/>
                <w:b/>
                <w:i w:val="0"/>
                <w:color w:val="FFFFFF"/>
                <w:sz w:val="18"/>
              </w:rPr>
              <w:t>Ministry area</w:t>
            </w:r>
          </w:p>
        </w:tc>
        <w:tc>
          <w:tcPr>
            <w:tcW w:type="dxa" w:w="1440"/>
            <w:shd w:val="clear" w:fill="EE7A59"/>
          </w:tcPr>
          <w:p>
            <w:r/>
            <w:r>
              <w:rPr>
                <w:rFonts w:ascii="Arial" w:hAnsi="Arial"/>
                <w:b/>
                <w:i w:val="0"/>
                <w:color w:val="FFFFFF"/>
                <w:sz w:val="18"/>
              </w:rPr>
              <w:t>Training date</w:t>
            </w:r>
          </w:p>
        </w:tc>
        <w:tc>
          <w:tcPr>
            <w:tcW w:type="dxa" w:w="2304"/>
            <w:shd w:val="clear" w:fill="EE7A59"/>
          </w:tcPr>
          <w:p>
            <w:r/>
            <w:r>
              <w:rPr>
                <w:rFonts w:ascii="Arial" w:hAnsi="Arial"/>
                <w:b/>
                <w:i w:val="0"/>
                <w:color w:val="FFFFFF"/>
                <w:sz w:val="18"/>
              </w:rPr>
              <w:t>Signature</w:t>
            </w:r>
          </w:p>
        </w:tc>
        <w:tc>
          <w:tcPr>
            <w:tcW w:type="dxa" w:w="1296"/>
            <w:shd w:val="clear" w:fill="EE7A59"/>
          </w:tcPr>
          <w:p>
            <w:r/>
            <w:r>
              <w:rPr>
                <w:rFonts w:ascii="Arial" w:hAnsi="Arial"/>
                <w:b/>
                <w:i w:val="0"/>
                <w:color w:val="FFFFFF"/>
                <w:sz w:val="18"/>
              </w:rPr>
              <w:t>Date</w:t>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r>
        <w:tc>
          <w:tcPr>
            <w:tcW w:type="dxa" w:w="2304"/>
          </w:tcPr>
          <w:p>
            <w:r/>
            <w:r>
              <w:rPr>
                <w:rFonts w:ascii="Arial" w:hAnsi="Arial"/>
                <w:b w:val="0"/>
                <w:i w:val="0"/>
                <w:sz w:val="20"/>
              </w:rPr>
            </w:r>
          </w:p>
        </w:tc>
        <w:tc>
          <w:tcPr>
            <w:tcW w:type="dxa" w:w="1872"/>
          </w:tcPr>
          <w:p>
            <w:r/>
            <w:r>
              <w:rPr>
                <w:rFonts w:ascii="Arial" w:hAnsi="Arial"/>
                <w:b w:val="0"/>
                <w:i w:val="0"/>
                <w:sz w:val="20"/>
              </w:rPr>
            </w:r>
          </w:p>
        </w:tc>
        <w:tc>
          <w:tcPr>
            <w:tcW w:type="dxa" w:w="1440"/>
          </w:tcPr>
          <w:p>
            <w:r/>
            <w:r>
              <w:rPr>
                <w:rFonts w:ascii="Arial" w:hAnsi="Arial"/>
                <w:b w:val="0"/>
                <w:i w:val="0"/>
                <w:sz w:val="20"/>
              </w:rPr>
            </w:r>
          </w:p>
        </w:tc>
        <w:tc>
          <w:tcPr>
            <w:tcW w:type="dxa" w:w="2304"/>
          </w:tcPr>
          <w:p>
            <w:r/>
            <w:r>
              <w:rPr>
                <w:rFonts w:ascii="Arial" w:hAnsi="Arial"/>
                <w:b w:val="0"/>
                <w:i w:val="0"/>
                <w:sz w:val="20"/>
              </w:rPr>
            </w:r>
          </w:p>
        </w:tc>
        <w:tc>
          <w:tcPr>
            <w:tcW w:type="dxa" w:w="1296"/>
          </w:tcPr>
          <w:p>
            <w:r/>
            <w:r>
              <w:rPr>
                <w:rFonts w:ascii="Arial" w:hAnsi="Arial"/>
                <w:b w:val="0"/>
                <w:i w:val="0"/>
                <w:sz w:val="20"/>
              </w:rPr>
            </w:r>
          </w:p>
        </w:tc>
      </w:tr>
    </w:tbl>
    <w:p>
      <w:r>
        <w:br w:type="page"/>
      </w:r>
    </w:p>
    <w:p>
      <w:pPr>
        <w:spacing w:before="0" w:after="80"/>
      </w:pPr>
      <w:r>
        <w:rPr>
          <w:rFonts w:ascii="Arial" w:hAnsi="Arial"/>
          <w:b/>
          <w:color w:val="3D3A34"/>
          <w:sz w:val="32"/>
        </w:rPr>
        <w:t>Incident Report</w:t>
      </w:r>
    </w:p>
    <w:p>
      <w:pPr>
        <w:spacing w:after="200"/>
      </w:pPr>
      <w:r>
        <w:rPr>
          <w:rFonts w:ascii="Arial" w:hAnsi="Arial"/>
          <w:i/>
          <w:color w:val="8A857C"/>
          <w:sz w:val="20"/>
        </w:rPr>
        <w:t>[Church name] · Complete the same day. Facts only — what you saw and heard, not what you think it means. Give it to [role] and keep no copy at home.</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Date of incident</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Time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Where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Ministry / room</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Reported by</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Phone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Child or youth involved</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Age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Parent / guardian told by</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When</w:t>
            </w:r>
          </w:p>
        </w:tc>
        <w:tc>
          <w:tcPr>
            <w:tcW w:type="dxa" w:w="3168"/>
          </w:tcPr>
          <w:p>
            <w:r/>
            <w:r>
              <w:rPr>
                <w:rFonts w:ascii="Arial" w:hAnsi="Arial"/>
                <w:b w:val="0"/>
                <w:i w:val="0"/>
                <w:sz w:val="20"/>
              </w:rPr>
            </w:r>
          </w:p>
        </w:tc>
      </w:tr>
    </w:tbl>
    <w:p>
      <w:pPr>
        <w:spacing w:after="80"/>
      </w:pPr>
    </w:p>
    <w:p>
      <w:pPr>
        <w:spacing w:after="120"/>
      </w:pPr>
      <w:r>
        <w:rPr>
          <w:rFonts w:ascii="Arial" w:hAnsi="Arial"/>
          <w:b/>
          <w:color w:val="3D3A34"/>
          <w:sz w:val="20"/>
        </w:rPr>
        <w:t>Type of incident</w:t>
      </w:r>
    </w:p>
    <w:p>
      <w:pPr>
        <w:spacing w:after="60"/>
      </w:pPr>
      <w:r>
        <w:rPr>
          <w:rFonts w:ascii="Arial" w:hAnsi="Arial"/>
          <w:sz w:val="20"/>
        </w:rPr>
        <w:t>☐  Injury or illness</w:t>
      </w:r>
    </w:p>
    <w:p>
      <w:pPr>
        <w:spacing w:after="60"/>
      </w:pPr>
      <w:r>
        <w:rPr>
          <w:rFonts w:ascii="Arial" w:hAnsi="Arial"/>
          <w:sz w:val="20"/>
        </w:rPr>
        <w:t>☐  Behavior / discipline</w:t>
      </w:r>
    </w:p>
    <w:p>
      <w:pPr>
        <w:spacing w:after="60"/>
      </w:pPr>
      <w:r>
        <w:rPr>
          <w:rFonts w:ascii="Arial" w:hAnsi="Arial"/>
          <w:sz w:val="20"/>
        </w:rPr>
        <w:t>☐  Missing or unaccounted-for child</w:t>
      </w:r>
    </w:p>
    <w:p>
      <w:pPr>
        <w:spacing w:after="60"/>
      </w:pPr>
      <w:r>
        <w:rPr>
          <w:rFonts w:ascii="Arial" w:hAnsi="Arial"/>
          <w:sz w:val="20"/>
        </w:rPr>
        <w:t>☐  Unauthorized pickup attempt</w:t>
      </w:r>
    </w:p>
    <w:p>
      <w:pPr>
        <w:spacing w:after="60"/>
      </w:pPr>
      <w:r>
        <w:rPr>
          <w:rFonts w:ascii="Arial" w:hAnsi="Arial"/>
          <w:sz w:val="20"/>
        </w:rPr>
        <w:t>☐  Concern about an adult's conduct</w:t>
      </w:r>
    </w:p>
    <w:p>
      <w:pPr>
        <w:spacing w:after="60"/>
      </w:pPr>
      <w:r>
        <w:rPr>
          <w:rFonts w:ascii="Arial" w:hAnsi="Arial"/>
          <w:sz w:val="20"/>
        </w:rPr>
        <w:t>☐  Disclosure or suspicion of abuse — also follow Section 10 today</w:t>
      </w:r>
    </w:p>
    <w:p>
      <w:pPr>
        <w:spacing w:after="60"/>
      </w:pPr>
      <w:r>
        <w:rPr>
          <w:rFonts w:ascii="Arial" w:hAnsi="Arial"/>
          <w:sz w:val="20"/>
        </w:rPr>
        <w:t>☐  Other: ______________________</w:t>
      </w:r>
    </w:p>
    <w:p>
      <w:pPr>
        <w:spacing w:after="120"/>
      </w:pPr>
      <w:r>
        <w:rPr>
          <w:rFonts w:ascii="Arial" w:hAnsi="Arial"/>
          <w:b/>
          <w:color w:val="3D3A34"/>
          <w:sz w:val="20"/>
        </w:rPr>
        <w:t>What happened, in order</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b/>
          <w:color w:val="3D3A34"/>
          <w:sz w:val="20"/>
        </w:rPr>
        <w:t>Who else saw it (names and phone numbers)</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b/>
          <w:color w:val="3D3A34"/>
          <w:sz w:val="20"/>
        </w:rPr>
        <w:t>What was done (first aid, who was called, who took over)</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p>
      <w:pPr>
        <w:spacing w:after="120"/>
      </w:pPr>
      <w:r>
        <w:rPr>
          <w:rFonts w:ascii="Arial" w:hAnsi="Arial"/>
          <w:sz w:val="20"/>
        </w:rPr>
        <w:t>________________________________________________________________________________________</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Signed (reporter)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Received by</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Follow-up / outcome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Closed on</w:t>
            </w:r>
          </w:p>
        </w:tc>
        <w:tc>
          <w:tcPr>
            <w:tcW w:type="dxa" w:w="3168"/>
          </w:tcPr>
          <w:p>
            <w:r/>
            <w:r>
              <w:rPr>
                <w:rFonts w:ascii="Arial" w:hAnsi="Arial"/>
                <w:b w:val="0"/>
                <w:i w:val="0"/>
                <w:sz w:val="20"/>
              </w:r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a starting point, not legal advice. Have your insurer or an attorney review it before adoption.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