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color w:val="3D3A34"/>
          <w:sz w:val="44"/>
        </w:rPr>
        <w:t>Sermon Prep Worksheet</w:t>
      </w:r>
    </w:p>
    <w:p>
      <w:pPr>
        <w:spacing w:after="200"/>
      </w:pPr>
      <w:r>
        <w:rPr>
          <w:rFonts w:ascii="Arial" w:hAnsi="Arial"/>
          <w:i/>
          <w:color w:val="8A857C"/>
          <w:sz w:val="20"/>
        </w:rPr>
        <w:t>Monday to Wednesday. Study, the big idea, and which shape the message wants.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The one-page version you actually preach from is the Sermon Brief. This is what has to happen before it exists.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3312"/>
        <w:gridCol w:w="1728"/>
        <w:gridCol w:w="3168"/>
      </w:tblGrid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Date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Series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Text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Speaker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after="80"/>
      </w:pPr>
    </w:p>
    <w:p>
      <w:pPr>
        <w:spacing w:before="120" w:after="80"/>
      </w:pPr>
      <w:r>
        <w:rPr>
          <w:rFonts w:ascii="Arial" w:hAnsi="Arial"/>
          <w:b/>
          <w:color w:val="C85A3B"/>
          <w:sz w:val="26"/>
        </w:rPr>
        <w:t>1. The passage, read five times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Before commentaries. Before anything. Read it until you notice something you have not been told to notice.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before="80" w:after="80"/>
      </w:pPr>
      <w:r>
        <w:rPr>
          <w:rFonts w:ascii="Arial" w:hAnsi="Arial"/>
          <w:b/>
          <w:color w:val="3D3A34"/>
          <w:sz w:val="22"/>
        </w:rPr>
        <w:t>What is strange or hard here?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2. Context</w:t>
      </w:r>
    </w:p>
    <w:p>
      <w:pPr>
        <w:spacing w:after="120"/>
      </w:pPr>
      <w:r>
        <w:rPr>
          <w:rFonts w:ascii="Arial" w:hAnsi="Arial"/>
          <w:sz w:val="20"/>
        </w:rPr>
        <w:t>Who wrote it, to whom, and what happens either side of it: 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3. Word &amp; phrase work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736"/>
        <w:gridCol w:w="2304"/>
        <w:gridCol w:w="2448"/>
      </w:tblGrid>
      <w:tr>
        <w:tc>
          <w:tcPr>
            <w:tcW w:type="dxa" w:w="2160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Word or phrase</w:t>
            </w:r>
          </w:p>
        </w:tc>
        <w:tc>
          <w:tcPr>
            <w:tcW w:type="dxa" w:w="2736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Why it caught me</w:t>
            </w:r>
          </w:p>
        </w:tc>
        <w:tc>
          <w:tcPr>
            <w:tcW w:type="dxa" w:w="2304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What I checked</w:t>
            </w:r>
          </w:p>
        </w:tc>
        <w:tc>
          <w:tcPr>
            <w:tcW w:type="dxa" w:w="2448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So what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73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73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73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73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after="160"/>
      </w:pPr>
      <w:r>
        <w:rPr>
          <w:rFonts w:ascii="Arial" w:hAnsi="Arial"/>
          <w:i/>
          <w:color w:val="8A857C"/>
          <w:sz w:val="18"/>
        </w:rPr>
        <w:t>The third row is the useful discipline: write down what is contested rather than the version that preaches best. A congregation forgives a pastor who says “scholars disagree” far more readily than one who is confidently wrong.</w:t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4. The author's point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One sentence, in the author's terms, about the people it was first written for.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5. The big idea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One sentence, present tense, for the people who will be in the room on Sunday. The gap between 4 and 5 is the whole discipline — write both, and make them different sentences.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r>
        <w:br w:type="page"/>
      </w:r>
    </w:p>
    <w:p>
      <w:pPr>
        <w:spacing w:before="0" w:after="80"/>
      </w:pPr>
      <w:r>
        <w:rPr>
          <w:rFonts w:ascii="Arial" w:hAnsi="Arial"/>
          <w:b/>
          <w:color w:val="C85A3B"/>
          <w:sz w:val="26"/>
        </w:rPr>
        <w:t>6. Who's in the room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056"/>
      </w:tblGrid>
      <w:tr>
        <w:tc>
          <w:tcPr>
            <w:tcW w:type="dxa" w:w="288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The tension they walk in with</w:t>
            </w:r>
          </w:p>
        </w:tc>
        <w:tc>
          <w:tcPr>
            <w:tcW w:type="dxa" w:w="70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The change you are praying for</w:t>
            </w:r>
          </w:p>
        </w:tc>
        <w:tc>
          <w:tcPr>
            <w:tcW w:type="dxa" w:w="70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after="80"/>
      </w:pPr>
    </w:p>
    <w:p>
      <w:pPr>
        <w:spacing w:before="120" w:after="80"/>
      </w:pPr>
      <w:r>
        <w:rPr>
          <w:rFonts w:ascii="Arial" w:hAnsi="Arial"/>
          <w:b/>
          <w:color w:val="C85A3B"/>
          <w:sz w:val="26"/>
        </w:rPr>
        <w:t>7. The one call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What are you asking them to actually do before next Sunday? One thing.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8. Pick the shape</w:t>
      </w:r>
    </w:p>
    <w:p>
      <w:pPr>
        <w:spacing w:after="40"/>
      </w:pPr>
      <w:r>
        <w:rPr>
          <w:rFonts w:ascii="Arial" w:hAnsi="Arial"/>
          <w:b/>
          <w:sz w:val="20"/>
        </w:rPr>
        <w:t xml:space="preserve">☐  Three points — </w:t>
      </w:r>
      <w:r>
        <w:rPr>
          <w:rFonts w:ascii="Arial" w:hAnsi="Arial"/>
          <w:sz w:val="20"/>
        </w:rPr>
        <w:t>Suits epistles and any text that argues. Fights narrative — a story chopped into three points stops being a story.</w:t>
      </w:r>
    </w:p>
    <w:p>
      <w:pPr>
        <w:spacing w:after="40"/>
      </w:pPr>
      <w:r>
        <w:rPr>
          <w:rFonts w:ascii="Arial" w:hAnsi="Arial"/>
          <w:b/>
          <w:sz w:val="20"/>
        </w:rPr>
        <w:t xml:space="preserve">☐  Expository walk — </w:t>
      </w:r>
      <w:r>
        <w:rPr>
          <w:rFonts w:ascii="Arial" w:hAnsi="Arial"/>
          <w:sz w:val="20"/>
        </w:rPr>
        <w:t>Move through the text in its own order. Suits almost anything; the risk is a running commentary with no destination.</w:t>
      </w:r>
    </w:p>
    <w:p>
      <w:pPr>
        <w:spacing w:after="40"/>
      </w:pPr>
      <w:r>
        <w:rPr>
          <w:rFonts w:ascii="Arial" w:hAnsi="Arial"/>
          <w:b/>
          <w:sz w:val="20"/>
        </w:rPr>
        <w:t xml:space="preserve">☐  Problem–solution — </w:t>
      </w:r>
      <w:r>
        <w:rPr>
          <w:rFonts w:ascii="Arial" w:hAnsi="Arial"/>
          <w:sz w:val="20"/>
        </w:rPr>
        <w:t>Suits texts that name a human condition and answer it. The risk is arriving at the answer before the room feels the problem.</w:t>
      </w:r>
    </w:p>
    <w:p>
      <w:pPr>
        <w:spacing w:after="40"/>
      </w:pPr>
      <w:r>
        <w:rPr>
          <w:rFonts w:ascii="Arial" w:hAnsi="Arial"/>
          <w:b/>
          <w:sz w:val="20"/>
        </w:rPr>
        <w:t xml:space="preserve">☐  Narrative arc — </w:t>
      </w:r>
      <w:r>
        <w:rPr>
          <w:rFonts w:ascii="Arial" w:hAnsi="Arial"/>
          <w:sz w:val="20"/>
        </w:rPr>
        <w:t>Tell it as the story it is — tension, turn, landing. Suits parables and Old Testament narrative. Requires nerve: you cannot summarise the ending in the first two minutes.</w:t>
      </w:r>
    </w:p>
    <w:p>
      <w:pPr>
        <w:spacing w:after="8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296"/>
        <w:gridCol w:w="1584"/>
        <w:gridCol w:w="6768"/>
      </w:tblGrid>
      <w:tr>
        <w:tc>
          <w:tcPr>
            <w:tcW w:type="dxa" w:w="1296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Move</w:t>
            </w:r>
          </w:p>
        </w:tc>
        <w:tc>
          <w:tcPr>
            <w:tcW w:type="dxa" w:w="1584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Text</w:t>
            </w:r>
          </w:p>
        </w:tc>
        <w:tc>
          <w:tcPr>
            <w:tcW w:type="dxa" w:w="6768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What happens</w:t>
            </w:r>
          </w:p>
        </w:tc>
      </w:tr>
      <w:tr>
        <w:tc>
          <w:tcPr>
            <w:tcW w:type="dxa" w:w="129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67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29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67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29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67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29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67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29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67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after="160"/>
      </w:pPr>
      <w:r>
        <w:rPr>
          <w:rFonts w:ascii="Arial" w:hAnsi="Arial"/>
          <w:i/>
          <w:color w:val="8A857C"/>
          <w:sz w:val="18"/>
        </w:rPr>
        <w:t>A sketch, not a run sheet. Minutes per move belong on the Sermon Brief, which is Thursday's job.</w:t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9. This week's handoffs</w:t>
      </w:r>
    </w:p>
    <w:p>
      <w:pPr>
        <w:spacing w:after="60"/>
      </w:pPr>
      <w:r>
        <w:rPr>
          <w:rFonts w:ascii="Arial" w:hAnsi="Arial"/>
          <w:sz w:val="20"/>
        </w:rPr>
        <w:t>☐  Tuesday — big idea to the worship leader</w:t>
      </w:r>
    </w:p>
    <w:p>
      <w:pPr>
        <w:spacing w:after="60"/>
      </w:pPr>
      <w:r>
        <w:rPr>
          <w:rFonts w:ascii="Arial" w:hAnsi="Arial"/>
          <w:sz w:val="20"/>
        </w:rPr>
        <w:t>☐  Tuesday — kid-sized big idea to kids ministry</w:t>
      </w:r>
    </w:p>
    <w:p>
      <w:pPr>
        <w:spacing w:after="60"/>
      </w:pPr>
      <w:r>
        <w:rPr>
          <w:rFonts w:ascii="Arial" w:hAnsi="Arial"/>
          <w:sz w:val="20"/>
        </w:rPr>
        <w:t>☐  Thursday — slide text and scripture references to tech</w:t>
      </w:r>
    </w:p>
    <w:p>
      <w:pPr>
        <w:spacing w:after="60"/>
      </w:pPr>
      <w:r>
        <w:rPr>
          <w:rFonts w:ascii="Arial" w:hAnsi="Arial"/>
          <w:sz w:val="20"/>
        </w:rPr>
        <w:t>☐  Thursday — discussion questions to small group leaders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This is the part a sermon-writing app cannot do for you. Four people need different pieces of the work above, on different days, and every one of them is currently waiting on you to remember.</w:t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10. After you preach</w:t>
      </w:r>
    </w:p>
    <w:p>
      <w:pPr>
        <w:spacing w:after="120"/>
      </w:pPr>
      <w:r>
        <w:rPr>
          <w:rFonts w:ascii="Arial" w:hAnsi="Arial"/>
          <w:sz w:val="20"/>
        </w:rPr>
        <w:t>What landed: 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What didn't: 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What to reuse: ____________________________________________________________________________________________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8A857C"/>
        <w:sz w:val="16"/>
      </w:rPr>
      <w:t>Free template from MinistryPlanner.church — the big idea reaches worship, kids and tech without a second email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